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19E" w:rsidRPr="005676B4" w:rsidRDefault="00CF319E" w:rsidP="005676B4">
      <w:bookmarkStart w:id="0" w:name="_GoBack"/>
      <w:bookmarkEnd w:id="0"/>
    </w:p>
    <w:p w:rsidR="00CF319E" w:rsidRPr="005676B4" w:rsidRDefault="00CF319E" w:rsidP="005676B4"/>
    <w:p w:rsidR="00CF319E" w:rsidRPr="005676B4" w:rsidRDefault="00CF319E" w:rsidP="005676B4"/>
    <w:p w:rsidR="00576C86" w:rsidRDefault="00576C86" w:rsidP="005676B4">
      <w:pPr>
        <w:jc w:val="center"/>
        <w:rPr>
          <w:rFonts w:eastAsia="Times New Roman"/>
        </w:rPr>
      </w:pPr>
    </w:p>
    <w:p w:rsidR="00576C86" w:rsidRDefault="00576C86" w:rsidP="005676B4">
      <w:pPr>
        <w:jc w:val="center"/>
        <w:rPr>
          <w:rFonts w:eastAsia="Times New Roman"/>
        </w:rPr>
      </w:pPr>
    </w:p>
    <w:p w:rsidR="00CF319E" w:rsidRDefault="00CF319E" w:rsidP="00576C86">
      <w:pPr>
        <w:jc w:val="center"/>
        <w:rPr>
          <w:rFonts w:eastAsia="Times New Roman"/>
        </w:rPr>
      </w:pPr>
      <w:r w:rsidRPr="005676B4">
        <w:rPr>
          <w:rFonts w:eastAsia="Times New Roman"/>
        </w:rPr>
        <w:t>Juvenile Justice</w:t>
      </w:r>
    </w:p>
    <w:p w:rsidR="005A0D2F" w:rsidRPr="005676B4" w:rsidRDefault="005A0D2F" w:rsidP="005676B4">
      <w:pPr>
        <w:jc w:val="center"/>
        <w:rPr>
          <w:rFonts w:eastAsia="Times New Roman"/>
        </w:rPr>
      </w:pPr>
      <w:r>
        <w:rPr>
          <w:rFonts w:eastAsia="Times New Roman"/>
        </w:rPr>
        <w:t xml:space="preserve">Name </w:t>
      </w:r>
    </w:p>
    <w:p w:rsidR="00CF319E" w:rsidRDefault="00CF319E" w:rsidP="005A0D2F">
      <w:pPr>
        <w:jc w:val="center"/>
      </w:pPr>
      <w:r w:rsidRPr="005676B4">
        <w:t xml:space="preserve">Institution of </w:t>
      </w:r>
      <w:r w:rsidR="005A0D2F" w:rsidRPr="005676B4">
        <w:t>Affiliation</w:t>
      </w:r>
    </w:p>
    <w:p w:rsidR="00576C86" w:rsidRPr="005676B4" w:rsidRDefault="00576C86" w:rsidP="005A0D2F">
      <w:pPr>
        <w:jc w:val="center"/>
      </w:pPr>
    </w:p>
    <w:p w:rsidR="00CF319E" w:rsidRPr="005676B4" w:rsidRDefault="00CF319E" w:rsidP="005676B4">
      <w:pPr>
        <w:jc w:val="center"/>
      </w:pPr>
    </w:p>
    <w:p w:rsidR="00CF319E" w:rsidRPr="005676B4" w:rsidRDefault="00CF319E" w:rsidP="005676B4">
      <w:pPr>
        <w:jc w:val="center"/>
      </w:pPr>
    </w:p>
    <w:p w:rsidR="00CF319E" w:rsidRPr="005676B4" w:rsidRDefault="00CF319E" w:rsidP="005676B4">
      <w:pPr>
        <w:jc w:val="center"/>
      </w:pPr>
    </w:p>
    <w:p w:rsidR="00CF319E" w:rsidRPr="005676B4" w:rsidRDefault="00CF319E" w:rsidP="005676B4">
      <w:pPr>
        <w:jc w:val="center"/>
      </w:pPr>
    </w:p>
    <w:p w:rsidR="00CF319E" w:rsidRPr="005676B4" w:rsidRDefault="00CF319E" w:rsidP="005676B4">
      <w:pPr>
        <w:jc w:val="center"/>
      </w:pPr>
    </w:p>
    <w:p w:rsidR="00CF319E" w:rsidRPr="005676B4" w:rsidRDefault="00CF319E" w:rsidP="005676B4">
      <w:pPr>
        <w:jc w:val="center"/>
      </w:pPr>
    </w:p>
    <w:p w:rsidR="00CF319E" w:rsidRPr="005676B4" w:rsidRDefault="00CF319E" w:rsidP="005676B4"/>
    <w:p w:rsidR="00646629" w:rsidRPr="005676B4" w:rsidRDefault="00646629" w:rsidP="005676B4"/>
    <w:p w:rsidR="00646629" w:rsidRPr="005676B4" w:rsidRDefault="00646629" w:rsidP="005676B4"/>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434AA9" w:rsidRPr="00576C86" w:rsidRDefault="005676B4" w:rsidP="00576C86">
      <w:pPr>
        <w:jc w:val="center"/>
        <w:rPr>
          <w:rFonts w:eastAsia="Times New Roman"/>
        </w:rPr>
      </w:pPr>
      <w:r w:rsidRPr="00576C86">
        <w:rPr>
          <w:rFonts w:eastAsia="Times New Roman"/>
        </w:rPr>
        <w:lastRenderedPageBreak/>
        <w:t>Juvenile Justice</w:t>
      </w:r>
    </w:p>
    <w:p w:rsidR="00B2276F" w:rsidRDefault="00576C86" w:rsidP="00B2276F">
      <w:pPr>
        <w:jc w:val="center"/>
        <w:rPr>
          <w:rFonts w:eastAsia="Times New Roman"/>
          <w:b/>
        </w:rPr>
      </w:pPr>
      <w:r w:rsidRPr="00576C86">
        <w:rPr>
          <w:rFonts w:eastAsia="Times New Roman"/>
          <w:b/>
        </w:rPr>
        <w:t>1</w:t>
      </w:r>
    </w:p>
    <w:p w:rsidR="00434AA9" w:rsidRPr="00576C86" w:rsidRDefault="00434AA9" w:rsidP="00B2276F">
      <w:pPr>
        <w:jc w:val="center"/>
        <w:rPr>
          <w:rFonts w:eastAsia="Times New Roman"/>
          <w:b/>
        </w:rPr>
      </w:pPr>
      <w:r w:rsidRPr="00576C86">
        <w:rPr>
          <w:rFonts w:eastAsia="Times New Roman"/>
          <w:b/>
        </w:rPr>
        <w:t>Solution</w:t>
      </w:r>
    </w:p>
    <w:p w:rsidR="00434AA9" w:rsidRPr="005676B4" w:rsidRDefault="00434AA9" w:rsidP="00576C86">
      <w:pPr>
        <w:rPr>
          <w:rFonts w:eastAsia="Times New Roman"/>
        </w:rPr>
      </w:pPr>
      <w:r w:rsidRPr="005676B4">
        <w:rPr>
          <w:rFonts w:eastAsia="Times New Roman"/>
        </w:rPr>
        <w:t>These theories are both useful in understanding criminology and delinquent behavior.</w:t>
      </w:r>
    </w:p>
    <w:p w:rsidR="00434AA9" w:rsidRPr="00576C86" w:rsidRDefault="00434AA9" w:rsidP="00576C86">
      <w:pPr>
        <w:ind w:firstLine="720"/>
        <w:jc w:val="center"/>
        <w:rPr>
          <w:rFonts w:eastAsia="Times New Roman"/>
          <w:b/>
        </w:rPr>
      </w:pPr>
      <w:r w:rsidRPr="00576C86">
        <w:rPr>
          <w:rFonts w:eastAsia="Times New Roman"/>
          <w:b/>
        </w:rPr>
        <w:t>Differences</w:t>
      </w:r>
    </w:p>
    <w:p w:rsidR="00434AA9" w:rsidRPr="005676B4" w:rsidRDefault="00434AA9" w:rsidP="00576C86">
      <w:pPr>
        <w:ind w:firstLine="720"/>
        <w:rPr>
          <w:rFonts w:eastAsia="Times New Roman"/>
        </w:rPr>
      </w:pPr>
      <w:r w:rsidRPr="005676B4">
        <w:rPr>
          <w:rFonts w:eastAsia="Times New Roman"/>
        </w:rPr>
        <w:t xml:space="preserve">Sutherland’s differential association theory which was proposed by Edwin H. Sutherland states the delinquency is a learned behavior while </w:t>
      </w:r>
      <w:proofErr w:type="spellStart"/>
      <w:r w:rsidRPr="005676B4">
        <w:rPr>
          <w:rFonts w:eastAsia="Times New Roman"/>
        </w:rPr>
        <w:t>Akers’s</w:t>
      </w:r>
      <w:proofErr w:type="spellEnd"/>
      <w:r w:rsidRPr="005676B4">
        <w:rPr>
          <w:rFonts w:eastAsia="Times New Roman"/>
        </w:rPr>
        <w:t xml:space="preserve"> differential reinforcement theory which that was proposed by Ronald Akers though similar to Sutherland’s theory in many aspects added the operate conditioning idea (</w:t>
      </w:r>
      <w:proofErr w:type="spellStart"/>
      <w:r w:rsidRPr="005676B4">
        <w:rPr>
          <w:rFonts w:eastAsia="Times New Roman"/>
        </w:rPr>
        <w:t>Eassey</w:t>
      </w:r>
      <w:proofErr w:type="spellEnd"/>
      <w:r w:rsidRPr="005676B4">
        <w:rPr>
          <w:rFonts w:eastAsia="Times New Roman"/>
        </w:rPr>
        <w:t xml:space="preserve"> &amp; </w:t>
      </w:r>
      <w:proofErr w:type="spellStart"/>
      <w:r w:rsidRPr="005676B4">
        <w:rPr>
          <w:rFonts w:eastAsia="Times New Roman"/>
        </w:rPr>
        <w:t>Krohn</w:t>
      </w:r>
      <w:proofErr w:type="spellEnd"/>
      <w:r w:rsidRPr="005676B4">
        <w:rPr>
          <w:rFonts w:eastAsia="Times New Roman"/>
        </w:rPr>
        <w:t>, 2017).</w:t>
      </w:r>
    </w:p>
    <w:p w:rsidR="00434AA9" w:rsidRPr="005676B4" w:rsidRDefault="00434AA9" w:rsidP="008B0803">
      <w:pPr>
        <w:ind w:firstLine="720"/>
        <w:rPr>
          <w:rFonts w:eastAsia="Times New Roman"/>
        </w:rPr>
      </w:pPr>
      <w:r w:rsidRPr="005676B4">
        <w:rPr>
          <w:rFonts w:eastAsia="Times New Roman"/>
        </w:rPr>
        <w:t>Sutherland’s theory states that people lean about criminal behavior from other people. For instance if a well behaves teenager starts hanging out with a drug dealer, there is a very high probability that this teenager will lean to become a drug dealer unlike if he was hanging out with other people (</w:t>
      </w:r>
      <w:proofErr w:type="spellStart"/>
      <w:r w:rsidRPr="005676B4">
        <w:rPr>
          <w:rFonts w:eastAsia="Times New Roman"/>
        </w:rPr>
        <w:t>Eassey</w:t>
      </w:r>
      <w:proofErr w:type="spellEnd"/>
      <w:r w:rsidRPr="005676B4">
        <w:rPr>
          <w:rFonts w:eastAsia="Times New Roman"/>
        </w:rPr>
        <w:t xml:space="preserve"> &amp; </w:t>
      </w:r>
      <w:proofErr w:type="spellStart"/>
      <w:r w:rsidRPr="005676B4">
        <w:rPr>
          <w:rFonts w:eastAsia="Times New Roman"/>
        </w:rPr>
        <w:t>Krohn</w:t>
      </w:r>
      <w:proofErr w:type="spellEnd"/>
      <w:r w:rsidRPr="005676B4">
        <w:rPr>
          <w:rFonts w:eastAsia="Times New Roman"/>
        </w:rPr>
        <w:t>, 2017).</w:t>
      </w:r>
    </w:p>
    <w:p w:rsidR="00434AA9" w:rsidRPr="005676B4" w:rsidRDefault="00434AA9" w:rsidP="00576C86">
      <w:pPr>
        <w:ind w:firstLine="720"/>
        <w:rPr>
          <w:rFonts w:eastAsia="Times New Roman"/>
        </w:rPr>
      </w:pPr>
      <w:r w:rsidRPr="005676B4">
        <w:rPr>
          <w:rFonts w:eastAsia="Times New Roman"/>
        </w:rPr>
        <w:t>Ronald Akers, on the other hand, stated that one become delinquent via an error-and-trail like process. He based his theory on operant conditioning thereby considering delinquency as a result of teens past actions i.e. whether there were positive or negative reinforcements for these actions. For example, if a teen got punished in the past for stealing, there is less likelihood of the person engaging in stealing in the future but it was rewarded for this behavior, there is a greater likelihood of the person engaging in this behavior (Akers, 2013).</w:t>
      </w:r>
    </w:p>
    <w:p w:rsidR="00434AA9" w:rsidRPr="00576C86" w:rsidRDefault="00434AA9" w:rsidP="00576C86">
      <w:pPr>
        <w:jc w:val="center"/>
        <w:rPr>
          <w:rFonts w:eastAsia="Times New Roman"/>
          <w:b/>
        </w:rPr>
      </w:pPr>
      <w:r w:rsidRPr="00576C86">
        <w:rPr>
          <w:rFonts w:eastAsia="Times New Roman"/>
          <w:b/>
        </w:rPr>
        <w:t>Similarities</w:t>
      </w:r>
    </w:p>
    <w:p w:rsidR="00434AA9" w:rsidRPr="005676B4" w:rsidRDefault="00434AA9" w:rsidP="005676B4">
      <w:pPr>
        <w:rPr>
          <w:rFonts w:eastAsia="Times New Roman"/>
        </w:rPr>
      </w:pPr>
      <w:r w:rsidRPr="005676B4">
        <w:rPr>
          <w:rFonts w:eastAsia="Times New Roman"/>
        </w:rPr>
        <w:t xml:space="preserve">    </w:t>
      </w:r>
    </w:p>
    <w:p w:rsidR="00434AA9" w:rsidRPr="005676B4" w:rsidRDefault="00434AA9" w:rsidP="00576C86">
      <w:pPr>
        <w:ind w:firstLine="720"/>
        <w:rPr>
          <w:rFonts w:eastAsia="Times New Roman"/>
        </w:rPr>
      </w:pPr>
      <w:r w:rsidRPr="005676B4">
        <w:rPr>
          <w:rFonts w:eastAsia="Times New Roman"/>
        </w:rPr>
        <w:lastRenderedPageBreak/>
        <w:t>Both theories believed that people pick up delinquent behavior as a result of being in this world as they both agree that the outside world has a big impact on determining whether an individual will become delinquent (</w:t>
      </w:r>
      <w:proofErr w:type="spellStart"/>
      <w:r w:rsidRPr="005676B4">
        <w:rPr>
          <w:rFonts w:eastAsia="Times New Roman"/>
        </w:rPr>
        <w:t>Eassey</w:t>
      </w:r>
      <w:proofErr w:type="spellEnd"/>
      <w:r w:rsidRPr="005676B4">
        <w:rPr>
          <w:rFonts w:eastAsia="Times New Roman"/>
        </w:rPr>
        <w:t xml:space="preserve"> &amp; </w:t>
      </w:r>
      <w:proofErr w:type="spellStart"/>
      <w:r w:rsidRPr="005676B4">
        <w:rPr>
          <w:rFonts w:eastAsia="Times New Roman"/>
        </w:rPr>
        <w:t>Krohn</w:t>
      </w:r>
      <w:proofErr w:type="spellEnd"/>
      <w:r w:rsidRPr="005676B4">
        <w:rPr>
          <w:rFonts w:eastAsia="Times New Roman"/>
        </w:rPr>
        <w:t>, 2017).</w:t>
      </w:r>
    </w:p>
    <w:p w:rsidR="00576C86" w:rsidRDefault="00434AA9" w:rsidP="00576C86">
      <w:pPr>
        <w:ind w:firstLine="720"/>
        <w:rPr>
          <w:rFonts w:eastAsia="Times New Roman"/>
        </w:rPr>
      </w:pPr>
      <w:r w:rsidRPr="005676B4">
        <w:rPr>
          <w:rFonts w:eastAsia="Times New Roman"/>
        </w:rPr>
        <w:t>Neither theory focused on the idea that individuals genetic or biology decide whether a person becomes delinquent.</w:t>
      </w:r>
    </w:p>
    <w:p w:rsidR="00434AA9" w:rsidRPr="005676B4" w:rsidRDefault="00434AA9" w:rsidP="00576C86">
      <w:pPr>
        <w:ind w:firstLine="720"/>
        <w:rPr>
          <w:rFonts w:eastAsia="Times New Roman"/>
        </w:rPr>
      </w:pPr>
      <w:r w:rsidRPr="005676B4">
        <w:rPr>
          <w:rFonts w:eastAsia="Times New Roman"/>
        </w:rPr>
        <w:t>Both theories are established on psychology and endeavor to explain how behaviors are produced (Akers, 2013).</w:t>
      </w:r>
    </w:p>
    <w:p w:rsidR="00576C86" w:rsidRDefault="00434AA9" w:rsidP="00576C86">
      <w:pPr>
        <w:ind w:firstLine="720"/>
        <w:rPr>
          <w:rFonts w:eastAsia="Times New Roman"/>
        </w:rPr>
      </w:pPr>
      <w:r w:rsidRPr="005676B4">
        <w:rPr>
          <w:rFonts w:eastAsia="Times New Roman"/>
        </w:rPr>
        <w:t>In both theories, some level of responsibility has been placed on all people on the world and not necessarily the individual (</w:t>
      </w:r>
      <w:proofErr w:type="spellStart"/>
      <w:r w:rsidRPr="005676B4">
        <w:rPr>
          <w:rFonts w:eastAsia="Times New Roman"/>
        </w:rPr>
        <w:t>Eassey</w:t>
      </w:r>
      <w:proofErr w:type="spellEnd"/>
      <w:r w:rsidRPr="005676B4">
        <w:rPr>
          <w:rFonts w:eastAsia="Times New Roman"/>
        </w:rPr>
        <w:t xml:space="preserve"> &amp; </w:t>
      </w:r>
      <w:proofErr w:type="spellStart"/>
      <w:r w:rsidRPr="005676B4">
        <w:rPr>
          <w:rFonts w:eastAsia="Times New Roman"/>
        </w:rPr>
        <w:t>Krohn</w:t>
      </w:r>
      <w:proofErr w:type="spellEnd"/>
      <w:r w:rsidRPr="005676B4">
        <w:rPr>
          <w:rFonts w:eastAsia="Times New Roman"/>
        </w:rPr>
        <w:t>, 2017).</w:t>
      </w:r>
    </w:p>
    <w:p w:rsidR="00434AA9" w:rsidRPr="005676B4" w:rsidRDefault="00576C86" w:rsidP="00576C86">
      <w:pPr>
        <w:jc w:val="center"/>
        <w:rPr>
          <w:rFonts w:eastAsia="Times New Roman"/>
        </w:rPr>
      </w:pPr>
      <w:r w:rsidRPr="00576C86">
        <w:rPr>
          <w:rFonts w:eastAsia="Times New Roman"/>
          <w:b/>
        </w:rPr>
        <w:t>1</w:t>
      </w:r>
    </w:p>
    <w:p w:rsidR="00434AA9" w:rsidRPr="00576C86" w:rsidRDefault="00434AA9" w:rsidP="00576C86">
      <w:pPr>
        <w:jc w:val="center"/>
        <w:rPr>
          <w:rFonts w:eastAsia="Times New Roman"/>
          <w:b/>
        </w:rPr>
      </w:pPr>
      <w:r w:rsidRPr="00576C86">
        <w:rPr>
          <w:rFonts w:eastAsia="Times New Roman"/>
          <w:b/>
        </w:rPr>
        <w:t>Solution</w:t>
      </w:r>
    </w:p>
    <w:p w:rsidR="00434AA9" w:rsidRPr="005676B4" w:rsidRDefault="00434AA9" w:rsidP="00576C86">
      <w:pPr>
        <w:ind w:firstLine="720"/>
        <w:rPr>
          <w:rFonts w:eastAsia="Times New Roman"/>
        </w:rPr>
      </w:pPr>
      <w:r w:rsidRPr="005676B4">
        <w:rPr>
          <w:rFonts w:eastAsia="Times New Roman"/>
        </w:rPr>
        <w:t xml:space="preserve">Net widening is a popular concept where the juvenile delinquent is extended diversion as opposed to being taken to jail. </w:t>
      </w:r>
      <w:r w:rsidR="00576C86">
        <w:rPr>
          <w:rFonts w:eastAsia="Times New Roman"/>
        </w:rPr>
        <w:t xml:space="preserve">According to </w:t>
      </w:r>
      <w:proofErr w:type="spellStart"/>
      <w:r w:rsidR="00576C86">
        <w:rPr>
          <w:rFonts w:eastAsia="Times New Roman"/>
        </w:rPr>
        <w:t>Kurlychek</w:t>
      </w:r>
      <w:proofErr w:type="spellEnd"/>
      <w:r w:rsidR="00576C86">
        <w:rPr>
          <w:rFonts w:eastAsia="Times New Roman"/>
        </w:rPr>
        <w:t xml:space="preserve"> (</w:t>
      </w:r>
      <w:r w:rsidR="00576C86" w:rsidRPr="005676B4">
        <w:rPr>
          <w:rFonts w:eastAsia="Times New Roman"/>
        </w:rPr>
        <w:t>2014)</w:t>
      </w:r>
      <w:r w:rsidR="00576C86">
        <w:rPr>
          <w:rFonts w:eastAsia="Times New Roman"/>
        </w:rPr>
        <w:t>, it</w:t>
      </w:r>
      <w:r w:rsidRPr="005676B4">
        <w:rPr>
          <w:rFonts w:eastAsia="Times New Roman"/>
        </w:rPr>
        <w:t xml:space="preserve"> is a loophole in our justice system as it prevents Juveniles form ever talking to a lawyer.</w:t>
      </w:r>
    </w:p>
    <w:p w:rsidR="00434AA9" w:rsidRPr="005676B4" w:rsidRDefault="00434AA9" w:rsidP="00576C86">
      <w:pPr>
        <w:ind w:firstLine="720"/>
        <w:rPr>
          <w:rFonts w:eastAsia="Times New Roman"/>
        </w:rPr>
      </w:pPr>
      <w:r w:rsidRPr="005676B4">
        <w:rPr>
          <w:rFonts w:eastAsia="Times New Roman"/>
        </w:rPr>
        <w:t>Net widening normally allows government unofficially to exercises powers over adolescent even if the adolescent has not been convicted of any crime. In this way, net widening removes due process and the courts as there is no formal proceeding to determine if the adolescent is guilty or not. They thus subdue an adolescent right to due process as enshrined in the constitution (</w:t>
      </w:r>
      <w:proofErr w:type="spellStart"/>
      <w:r w:rsidRPr="005676B4">
        <w:rPr>
          <w:rFonts w:eastAsia="Times New Roman"/>
        </w:rPr>
        <w:t>Kurlychek</w:t>
      </w:r>
      <w:proofErr w:type="spellEnd"/>
      <w:r w:rsidRPr="005676B4">
        <w:rPr>
          <w:rFonts w:eastAsia="Times New Roman"/>
        </w:rPr>
        <w:t>, 2014).</w:t>
      </w:r>
    </w:p>
    <w:p w:rsidR="00434AA9" w:rsidRPr="005676B4" w:rsidRDefault="00434AA9" w:rsidP="00576C86">
      <w:pPr>
        <w:ind w:firstLine="720"/>
        <w:rPr>
          <w:rFonts w:eastAsia="Times New Roman"/>
        </w:rPr>
      </w:pPr>
      <w:r w:rsidRPr="005676B4">
        <w:rPr>
          <w:rFonts w:eastAsia="Times New Roman"/>
        </w:rPr>
        <w:t xml:space="preserve">For instance, if Janet was caught stealing a neighbor’s phone in his house, the local Juvenile (adolescent)   justice system can decide to allow him to participate to in community works like slashing grass or collecting garbage dumped in the streets or meet on a weekly basing with the area social community worker for a certain duration of time instead of being compelled </w:t>
      </w:r>
      <w:r w:rsidRPr="005676B4">
        <w:rPr>
          <w:rFonts w:eastAsia="Times New Roman"/>
        </w:rPr>
        <w:lastRenderedPageBreak/>
        <w:t>to enter the juvenile justice system while in detention or going for trial. In this way, Janet rights to a lawyer have been subverted since if he would have gotten a lawyer, there is a high probability that he would only have been required to pay a small fine and not ever step foot in a jail (</w:t>
      </w:r>
      <w:proofErr w:type="spellStart"/>
      <w:r w:rsidRPr="005676B4">
        <w:rPr>
          <w:rFonts w:eastAsia="Times New Roman"/>
        </w:rPr>
        <w:t>Kurlychek</w:t>
      </w:r>
      <w:proofErr w:type="spellEnd"/>
      <w:r w:rsidRPr="005676B4">
        <w:rPr>
          <w:rFonts w:eastAsia="Times New Roman"/>
        </w:rPr>
        <w:t>, 2014).</w:t>
      </w:r>
    </w:p>
    <w:p w:rsidR="00434AA9" w:rsidRPr="005676B4" w:rsidRDefault="00434AA9" w:rsidP="00576C86">
      <w:pPr>
        <w:ind w:firstLine="720"/>
        <w:rPr>
          <w:rFonts w:eastAsia="Times New Roman"/>
        </w:rPr>
      </w:pPr>
      <w:r w:rsidRPr="005676B4">
        <w:rPr>
          <w:rFonts w:eastAsia="Times New Roman"/>
        </w:rPr>
        <w:t>Net widening leads to the imposition of sanctions on individuals which would have been used by the formal justice system.</w:t>
      </w:r>
    </w:p>
    <w:p w:rsidR="00434AA9" w:rsidRPr="00576C86" w:rsidRDefault="00576C86" w:rsidP="00576C86">
      <w:pPr>
        <w:jc w:val="center"/>
        <w:rPr>
          <w:rFonts w:eastAsia="Times New Roman"/>
          <w:b/>
        </w:rPr>
      </w:pPr>
      <w:r w:rsidRPr="00576C86">
        <w:rPr>
          <w:rFonts w:eastAsia="Times New Roman"/>
          <w:b/>
        </w:rPr>
        <w:t>3</w:t>
      </w:r>
    </w:p>
    <w:p w:rsidR="00434AA9" w:rsidRPr="00576C86" w:rsidRDefault="00434AA9" w:rsidP="00576C86">
      <w:pPr>
        <w:jc w:val="center"/>
        <w:rPr>
          <w:rFonts w:eastAsia="Times New Roman"/>
          <w:b/>
        </w:rPr>
      </w:pPr>
      <w:r w:rsidRPr="00576C86">
        <w:rPr>
          <w:rFonts w:eastAsia="Times New Roman"/>
          <w:b/>
        </w:rPr>
        <w:t>Solution</w:t>
      </w:r>
    </w:p>
    <w:p w:rsidR="00434AA9" w:rsidRPr="005676B4" w:rsidRDefault="00434AA9" w:rsidP="00576C86">
      <w:pPr>
        <w:ind w:firstLine="720"/>
        <w:rPr>
          <w:rFonts w:eastAsia="Times New Roman"/>
        </w:rPr>
      </w:pPr>
      <w:r w:rsidRPr="005676B4">
        <w:rPr>
          <w:rFonts w:eastAsia="Times New Roman"/>
        </w:rPr>
        <w:t>There are there major policing styles as listed above i.e. legalistic, service, and watchman styles and each deal with adolescent delinquents differently. This is normally described as a collection of police department processes, routines and method hence a reflection of police department organizational culture (</w:t>
      </w:r>
      <w:proofErr w:type="spellStart"/>
      <w:r w:rsidRPr="005676B4">
        <w:rPr>
          <w:rFonts w:eastAsia="Times New Roman"/>
        </w:rPr>
        <w:t>Paoline</w:t>
      </w:r>
      <w:proofErr w:type="spellEnd"/>
      <w:r w:rsidRPr="005676B4">
        <w:rPr>
          <w:rFonts w:eastAsia="Times New Roman"/>
        </w:rPr>
        <w:t>, 2014).</w:t>
      </w:r>
    </w:p>
    <w:p w:rsidR="00434AA9" w:rsidRPr="00576C86" w:rsidRDefault="00434AA9" w:rsidP="00576C86">
      <w:pPr>
        <w:ind w:firstLine="720"/>
        <w:rPr>
          <w:rFonts w:eastAsia="Times New Roman"/>
          <w:b/>
        </w:rPr>
      </w:pPr>
      <w:r w:rsidRPr="00576C86">
        <w:rPr>
          <w:rFonts w:eastAsia="Times New Roman"/>
          <w:b/>
        </w:rPr>
        <w:t xml:space="preserve">Watchman </w:t>
      </w:r>
      <w:r w:rsidR="00576C86" w:rsidRPr="00576C86">
        <w:rPr>
          <w:rFonts w:eastAsia="Times New Roman"/>
          <w:b/>
        </w:rPr>
        <w:t>Style</w:t>
      </w:r>
    </w:p>
    <w:p w:rsidR="00434AA9" w:rsidRPr="005676B4" w:rsidRDefault="00434AA9" w:rsidP="00576C86">
      <w:pPr>
        <w:ind w:firstLine="720"/>
        <w:rPr>
          <w:rFonts w:eastAsia="Times New Roman"/>
        </w:rPr>
      </w:pPr>
      <w:r w:rsidRPr="005676B4">
        <w:rPr>
          <w:rFonts w:eastAsia="Times New Roman"/>
        </w:rPr>
        <w:t>As this policing style emphasized more on maintenance of peace and order hence geared more toward resolving conflicts than preventing them. In it, officers are allowed wide discretion when dealing with cases. They are permitted to gauge the seriousness of crimes and their consequences before taking action n hence certain juvenile delinquent offenses are overlooked as maintenance of public order is main aim (</w:t>
      </w:r>
      <w:proofErr w:type="spellStart"/>
      <w:r w:rsidRPr="005676B4">
        <w:rPr>
          <w:rFonts w:eastAsia="Times New Roman"/>
        </w:rPr>
        <w:t>Paoline</w:t>
      </w:r>
      <w:proofErr w:type="spellEnd"/>
      <w:r w:rsidRPr="005676B4">
        <w:rPr>
          <w:rFonts w:eastAsia="Times New Roman"/>
        </w:rPr>
        <w:t>, 2014).</w:t>
      </w:r>
    </w:p>
    <w:p w:rsidR="00434AA9" w:rsidRPr="00576C86" w:rsidRDefault="00434AA9" w:rsidP="00576C86">
      <w:pPr>
        <w:ind w:firstLine="720"/>
        <w:rPr>
          <w:rFonts w:eastAsia="Times New Roman"/>
          <w:b/>
        </w:rPr>
      </w:pPr>
      <w:r w:rsidRPr="00576C86">
        <w:rPr>
          <w:rFonts w:eastAsia="Times New Roman"/>
          <w:b/>
        </w:rPr>
        <w:t>Legalistic style</w:t>
      </w:r>
    </w:p>
    <w:p w:rsidR="00434AA9" w:rsidRPr="005676B4" w:rsidRDefault="00434AA9" w:rsidP="00576C86">
      <w:pPr>
        <w:ind w:firstLine="720"/>
        <w:rPr>
          <w:rFonts w:eastAsia="Times New Roman"/>
        </w:rPr>
      </w:pPr>
      <w:r w:rsidRPr="005676B4">
        <w:rPr>
          <w:rFonts w:eastAsia="Times New Roman"/>
        </w:rPr>
        <w:t xml:space="preserve">Even though this department is also focused on dispute resolution like watchman style, greater emphasis has been placed on violations of the law. It operates with threats or real arrest hence criminal law is strictly enforced. The officers have little discretion in gauging the seriousness of crimes hence any juvenile delinquent who commit a crime will be arrested and </w:t>
      </w:r>
      <w:r w:rsidRPr="005676B4">
        <w:rPr>
          <w:rFonts w:eastAsia="Times New Roman"/>
        </w:rPr>
        <w:lastRenderedPageBreak/>
        <w:t>charged according to provisions laid out in the law. No juvenile delinquency offense is overlooked (</w:t>
      </w:r>
      <w:proofErr w:type="spellStart"/>
      <w:r w:rsidRPr="005676B4">
        <w:rPr>
          <w:rFonts w:eastAsia="Times New Roman"/>
        </w:rPr>
        <w:t>Paoline</w:t>
      </w:r>
      <w:proofErr w:type="spellEnd"/>
      <w:r w:rsidRPr="005676B4">
        <w:rPr>
          <w:rFonts w:eastAsia="Times New Roman"/>
        </w:rPr>
        <w:t>, 2014).</w:t>
      </w:r>
    </w:p>
    <w:p w:rsidR="00434AA9" w:rsidRPr="00576C86" w:rsidRDefault="00434AA9" w:rsidP="00576C86">
      <w:pPr>
        <w:ind w:firstLine="720"/>
        <w:rPr>
          <w:rFonts w:eastAsia="Times New Roman"/>
          <w:b/>
        </w:rPr>
      </w:pPr>
      <w:r w:rsidRPr="00576C86">
        <w:rPr>
          <w:rFonts w:eastAsia="Times New Roman"/>
          <w:b/>
        </w:rPr>
        <w:t xml:space="preserve">Service </w:t>
      </w:r>
      <w:r w:rsidR="00576C86" w:rsidRPr="00576C86">
        <w:rPr>
          <w:rFonts w:eastAsia="Times New Roman"/>
          <w:b/>
        </w:rPr>
        <w:t>Style</w:t>
      </w:r>
    </w:p>
    <w:p w:rsidR="00434AA9" w:rsidRDefault="00434AA9" w:rsidP="00576C86">
      <w:pPr>
        <w:ind w:firstLine="720"/>
        <w:rPr>
          <w:rFonts w:eastAsia="Times New Roman"/>
        </w:rPr>
      </w:pPr>
      <w:r w:rsidRPr="005676B4">
        <w:rPr>
          <w:rFonts w:eastAsia="Times New Roman"/>
        </w:rPr>
        <w:t>Unlike other styles, greater emphasis has been placed on public service and assisting the community. Informal methods are utilized in the aiding and interaction with the public. As public service over law enforcement is emphasized, juvenile delinquent crime offender not arrested except when necessary. Minor crimes are assumed while juvenile crimes that affect public privacy like robbery are thoroughly dealt with (</w:t>
      </w:r>
      <w:proofErr w:type="spellStart"/>
      <w:r w:rsidRPr="005676B4">
        <w:rPr>
          <w:rFonts w:eastAsia="Times New Roman"/>
        </w:rPr>
        <w:t>Paoline</w:t>
      </w:r>
      <w:proofErr w:type="spellEnd"/>
      <w:r w:rsidRPr="005676B4">
        <w:rPr>
          <w:rFonts w:eastAsia="Times New Roman"/>
        </w:rPr>
        <w:t>, 2014).</w:t>
      </w:r>
    </w:p>
    <w:p w:rsidR="00576C86" w:rsidRPr="00576C86" w:rsidRDefault="00576C86" w:rsidP="00576C86">
      <w:pPr>
        <w:jc w:val="center"/>
        <w:rPr>
          <w:rFonts w:eastAsia="Times New Roman"/>
          <w:b/>
        </w:rPr>
      </w:pPr>
      <w:r w:rsidRPr="00576C86">
        <w:rPr>
          <w:rFonts w:eastAsia="Times New Roman"/>
          <w:b/>
        </w:rPr>
        <w:t>4</w:t>
      </w:r>
    </w:p>
    <w:p w:rsidR="00434AA9" w:rsidRPr="00576C86" w:rsidRDefault="00576C86" w:rsidP="00576C86">
      <w:pPr>
        <w:jc w:val="center"/>
        <w:rPr>
          <w:rFonts w:eastAsia="Times New Roman"/>
          <w:b/>
        </w:rPr>
      </w:pPr>
      <w:r w:rsidRPr="00576C86">
        <w:rPr>
          <w:rFonts w:eastAsia="Times New Roman"/>
          <w:b/>
        </w:rPr>
        <w:t>Solution</w:t>
      </w:r>
    </w:p>
    <w:p w:rsidR="00434AA9" w:rsidRPr="005676B4" w:rsidRDefault="00434AA9" w:rsidP="00576C86">
      <w:pPr>
        <w:ind w:firstLine="720"/>
        <w:rPr>
          <w:rFonts w:eastAsia="Times New Roman"/>
        </w:rPr>
      </w:pPr>
      <w:r w:rsidRPr="005676B4">
        <w:rPr>
          <w:rFonts w:eastAsia="Times New Roman"/>
        </w:rPr>
        <w:t>This case took place in 1967. The case involved Gerald Gault who was then 15 years old.  In it, Gerald Gault was arrested and taken to police detention without any notice to his parents. He stayed in the station for four days before getting committed for six Years to a juvenile prison. This was a result of making a prank call to a neighbor. No prior notice of charges was given and his case was adjudicated adolescent in an informal hearing with a judge without a lawyer or witnesses (</w:t>
      </w:r>
      <w:proofErr w:type="spellStart"/>
      <w:r w:rsidRPr="005676B4">
        <w:rPr>
          <w:rFonts w:eastAsia="Times New Roman"/>
        </w:rPr>
        <w:t>Birckhead</w:t>
      </w:r>
      <w:proofErr w:type="spellEnd"/>
      <w:r w:rsidRPr="005676B4">
        <w:rPr>
          <w:rFonts w:eastAsia="Times New Roman"/>
        </w:rPr>
        <w:t xml:space="preserve">, 2013). </w:t>
      </w:r>
    </w:p>
    <w:p w:rsidR="00434AA9" w:rsidRPr="005676B4" w:rsidRDefault="00434AA9" w:rsidP="00576C86">
      <w:pPr>
        <w:ind w:firstLine="720"/>
        <w:rPr>
          <w:rFonts w:eastAsia="Times New Roman"/>
        </w:rPr>
      </w:pPr>
      <w:r w:rsidRPr="005676B4">
        <w:rPr>
          <w:rFonts w:eastAsia="Times New Roman"/>
        </w:rPr>
        <w:t xml:space="preserve">The Supreme Court reversed Gerald Gault adjudication and defined the current basic requirements needed in a due process involving juvenile delinquent hearings (Hobbs, </w:t>
      </w:r>
      <w:proofErr w:type="spellStart"/>
      <w:r w:rsidRPr="005676B4">
        <w:rPr>
          <w:rFonts w:eastAsia="Times New Roman"/>
        </w:rPr>
        <w:t>Wulf</w:t>
      </w:r>
      <w:proofErr w:type="spellEnd"/>
      <w:r w:rsidRPr="005676B4">
        <w:rPr>
          <w:rFonts w:eastAsia="Times New Roman"/>
        </w:rPr>
        <w:t xml:space="preserve">-Ludden &amp; </w:t>
      </w:r>
      <w:proofErr w:type="spellStart"/>
      <w:r w:rsidRPr="005676B4">
        <w:rPr>
          <w:rFonts w:eastAsia="Times New Roman"/>
        </w:rPr>
        <w:t>Strawhun</w:t>
      </w:r>
      <w:proofErr w:type="spellEnd"/>
      <w:r w:rsidRPr="005676B4">
        <w:rPr>
          <w:rFonts w:eastAsia="Times New Roman"/>
        </w:rPr>
        <w:t>, 2013)</w:t>
      </w:r>
    </w:p>
    <w:p w:rsidR="00434AA9" w:rsidRPr="005676B4" w:rsidRDefault="00434AA9" w:rsidP="00576C86">
      <w:pPr>
        <w:ind w:firstLine="720"/>
        <w:rPr>
          <w:rFonts w:eastAsia="Times New Roman"/>
        </w:rPr>
      </w:pPr>
      <w:r w:rsidRPr="005676B4">
        <w:rPr>
          <w:rFonts w:eastAsia="Times New Roman"/>
        </w:rPr>
        <w:t>The rights spelled out form this case include:</w:t>
      </w:r>
    </w:p>
    <w:p w:rsidR="00434AA9" w:rsidRPr="005676B4" w:rsidRDefault="00434AA9" w:rsidP="00576C86">
      <w:pPr>
        <w:rPr>
          <w:rFonts w:eastAsia="Times New Roman"/>
        </w:rPr>
      </w:pPr>
      <w:r w:rsidRPr="005676B4">
        <w:rPr>
          <w:rFonts w:eastAsia="Times New Roman"/>
        </w:rPr>
        <w:t>The right to a lawyer (attorney).</w:t>
      </w:r>
    </w:p>
    <w:p w:rsidR="00434AA9" w:rsidRPr="005676B4" w:rsidRDefault="00434AA9" w:rsidP="00576C86">
      <w:pPr>
        <w:rPr>
          <w:rFonts w:eastAsia="Times New Roman"/>
        </w:rPr>
      </w:pPr>
      <w:r w:rsidRPr="005676B4">
        <w:rPr>
          <w:rFonts w:eastAsia="Times New Roman"/>
        </w:rPr>
        <w:t>The right to stay (remain) silent</w:t>
      </w:r>
    </w:p>
    <w:p w:rsidR="00434AA9" w:rsidRPr="005676B4" w:rsidRDefault="00434AA9" w:rsidP="00576C86">
      <w:pPr>
        <w:rPr>
          <w:rFonts w:eastAsia="Times New Roman"/>
        </w:rPr>
      </w:pPr>
      <w:r w:rsidRPr="005676B4">
        <w:rPr>
          <w:rFonts w:eastAsia="Times New Roman"/>
        </w:rPr>
        <w:t xml:space="preserve">The right to being given a notice of all the charges.    </w:t>
      </w:r>
    </w:p>
    <w:p w:rsidR="00434AA9" w:rsidRPr="005676B4" w:rsidRDefault="00434AA9" w:rsidP="00B2276F">
      <w:pPr>
        <w:rPr>
          <w:rFonts w:eastAsia="Times New Roman"/>
        </w:rPr>
      </w:pPr>
      <w:r w:rsidRPr="005676B4">
        <w:rPr>
          <w:rFonts w:eastAsia="Times New Roman"/>
        </w:rPr>
        <w:lastRenderedPageBreak/>
        <w:t>The right to cross-examine and confront witnesses.</w:t>
      </w:r>
    </w:p>
    <w:p w:rsidR="00434AA9" w:rsidRPr="005676B4" w:rsidRDefault="00434AA9" w:rsidP="005676B4">
      <w:pPr>
        <w:ind w:left="720"/>
        <w:rPr>
          <w:rFonts w:eastAsia="Times New Roman"/>
        </w:rPr>
      </w:pPr>
    </w:p>
    <w:p w:rsidR="00646629" w:rsidRPr="005676B4" w:rsidRDefault="00646629" w:rsidP="005676B4">
      <w:pPr>
        <w:ind w:left="720"/>
        <w:rPr>
          <w:rFonts w:eastAsia="Times New Roman"/>
        </w:rPr>
      </w:pPr>
    </w:p>
    <w:p w:rsidR="00434AA9" w:rsidRPr="005676B4" w:rsidRDefault="00434AA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Pr="005676B4" w:rsidRDefault="00646629" w:rsidP="005676B4">
      <w:pPr>
        <w:rPr>
          <w:rFonts w:eastAsia="Times New Roman"/>
        </w:rPr>
      </w:pPr>
    </w:p>
    <w:p w:rsidR="00646629" w:rsidRDefault="00646629"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Default="00576C86" w:rsidP="005676B4">
      <w:pPr>
        <w:rPr>
          <w:rFonts w:eastAsia="Times New Roman"/>
        </w:rPr>
      </w:pPr>
    </w:p>
    <w:p w:rsidR="00576C86" w:rsidRPr="005676B4" w:rsidRDefault="00576C86" w:rsidP="005676B4">
      <w:pPr>
        <w:rPr>
          <w:rFonts w:eastAsia="Times New Roman"/>
        </w:rPr>
      </w:pPr>
    </w:p>
    <w:p w:rsidR="00646629" w:rsidRPr="005676B4" w:rsidRDefault="00576C86" w:rsidP="005676B4">
      <w:pPr>
        <w:jc w:val="center"/>
        <w:rPr>
          <w:rFonts w:eastAsia="Times New Roman"/>
        </w:rPr>
      </w:pPr>
      <w:r w:rsidRPr="005676B4">
        <w:rPr>
          <w:rFonts w:eastAsia="Times New Roman"/>
        </w:rPr>
        <w:lastRenderedPageBreak/>
        <w:t>References</w:t>
      </w:r>
    </w:p>
    <w:p w:rsidR="00576C86" w:rsidRPr="005676B4" w:rsidRDefault="00576C86" w:rsidP="00576C86">
      <w:pPr>
        <w:ind w:left="720" w:hanging="720"/>
        <w:rPr>
          <w:color w:val="222222"/>
          <w:shd w:val="clear" w:color="auto" w:fill="FFFFFF"/>
        </w:rPr>
      </w:pPr>
      <w:r w:rsidRPr="005676B4">
        <w:rPr>
          <w:color w:val="222222"/>
          <w:shd w:val="clear" w:color="auto" w:fill="FFFFFF"/>
        </w:rPr>
        <w:t>Akers, R. L. (2013). </w:t>
      </w:r>
      <w:r w:rsidRPr="005676B4">
        <w:rPr>
          <w:i/>
          <w:iCs/>
          <w:color w:val="222222"/>
          <w:shd w:val="clear" w:color="auto" w:fill="FFFFFF"/>
        </w:rPr>
        <w:t>Criminological theories: Introduction and evaluation</w:t>
      </w:r>
      <w:r w:rsidRPr="005676B4">
        <w:rPr>
          <w:color w:val="222222"/>
          <w:shd w:val="clear" w:color="auto" w:fill="FFFFFF"/>
        </w:rPr>
        <w:t>. Routledge.</w:t>
      </w:r>
    </w:p>
    <w:p w:rsidR="00576C86" w:rsidRPr="005676B4" w:rsidRDefault="00576C86" w:rsidP="00576C86">
      <w:pPr>
        <w:ind w:left="720" w:hanging="720"/>
        <w:rPr>
          <w:color w:val="222222"/>
          <w:shd w:val="clear" w:color="auto" w:fill="FFFFFF"/>
        </w:rPr>
      </w:pPr>
      <w:proofErr w:type="spellStart"/>
      <w:r w:rsidRPr="005676B4">
        <w:rPr>
          <w:color w:val="222222"/>
          <w:shd w:val="clear" w:color="auto" w:fill="FFFFFF"/>
        </w:rPr>
        <w:t>Birckhead</w:t>
      </w:r>
      <w:proofErr w:type="spellEnd"/>
      <w:r w:rsidRPr="005676B4">
        <w:rPr>
          <w:color w:val="222222"/>
          <w:shd w:val="clear" w:color="auto" w:fill="FFFFFF"/>
        </w:rPr>
        <w:t>, T. R. (2013). Closing the Widening Net: The Rights to Juveniles at Intake. </w:t>
      </w:r>
      <w:r w:rsidRPr="005676B4">
        <w:rPr>
          <w:i/>
          <w:iCs/>
          <w:color w:val="222222"/>
          <w:shd w:val="clear" w:color="auto" w:fill="FFFFFF"/>
        </w:rPr>
        <w:t>Tex. Tech L. Rev.</w:t>
      </w:r>
      <w:r w:rsidRPr="005676B4">
        <w:rPr>
          <w:color w:val="222222"/>
          <w:shd w:val="clear" w:color="auto" w:fill="FFFFFF"/>
        </w:rPr>
        <w:t>, </w:t>
      </w:r>
      <w:r w:rsidRPr="005676B4">
        <w:rPr>
          <w:i/>
          <w:iCs/>
          <w:color w:val="222222"/>
          <w:shd w:val="clear" w:color="auto" w:fill="FFFFFF"/>
        </w:rPr>
        <w:t>46</w:t>
      </w:r>
      <w:r w:rsidRPr="005676B4">
        <w:rPr>
          <w:color w:val="222222"/>
          <w:shd w:val="clear" w:color="auto" w:fill="FFFFFF"/>
        </w:rPr>
        <w:t>, 157.</w:t>
      </w:r>
    </w:p>
    <w:p w:rsidR="00576C86" w:rsidRDefault="00576C86" w:rsidP="00576C86">
      <w:pPr>
        <w:ind w:left="720" w:hanging="720"/>
        <w:rPr>
          <w:rFonts w:eastAsia="Times New Roman"/>
        </w:rPr>
      </w:pPr>
      <w:r w:rsidRPr="005676B4">
        <w:rPr>
          <w:rFonts w:eastAsia="Times New Roman"/>
        </w:rPr>
        <w:t>Chicago</w:t>
      </w:r>
      <w:r w:rsidRPr="005676B4">
        <w:rPr>
          <w:rFonts w:eastAsia="Times New Roman"/>
        </w:rPr>
        <w:tab/>
      </w:r>
    </w:p>
    <w:p w:rsidR="00576C86" w:rsidRPr="005676B4" w:rsidRDefault="00576C86" w:rsidP="00576C86">
      <w:pPr>
        <w:ind w:left="720" w:hanging="720"/>
        <w:rPr>
          <w:rFonts w:eastAsia="Times New Roman"/>
        </w:rPr>
      </w:pPr>
      <w:proofErr w:type="spellStart"/>
      <w:r w:rsidRPr="005676B4">
        <w:rPr>
          <w:rFonts w:eastAsia="Times New Roman"/>
        </w:rPr>
        <w:t>Eassey</w:t>
      </w:r>
      <w:proofErr w:type="spellEnd"/>
      <w:r w:rsidRPr="005676B4">
        <w:rPr>
          <w:rFonts w:eastAsia="Times New Roman"/>
        </w:rPr>
        <w:t xml:space="preserve">, J. M., &amp; </w:t>
      </w:r>
      <w:proofErr w:type="spellStart"/>
      <w:r w:rsidRPr="005676B4">
        <w:rPr>
          <w:rFonts w:eastAsia="Times New Roman"/>
        </w:rPr>
        <w:t>Krohn</w:t>
      </w:r>
      <w:proofErr w:type="spellEnd"/>
      <w:r w:rsidRPr="005676B4">
        <w:rPr>
          <w:rFonts w:eastAsia="Times New Roman"/>
        </w:rPr>
        <w:t>, M. D. (2017). Differential Association, Differential Social Organization, and White</w:t>
      </w:r>
      <w:r w:rsidRPr="005676B4">
        <w:rPr>
          <w:rFonts w:ascii="Cambria Math" w:eastAsia="Times New Roman" w:hAnsi="Cambria Math" w:cs="Cambria Math"/>
        </w:rPr>
        <w:t>‐</w:t>
      </w:r>
      <w:r w:rsidRPr="005676B4">
        <w:rPr>
          <w:rFonts w:eastAsia="Times New Roman"/>
        </w:rPr>
        <w:t>Collar Crime: Sutherland Defines the Field. The Handbook of the History and Philosophy of Criminology, 156.</w:t>
      </w:r>
    </w:p>
    <w:p w:rsidR="00576C86" w:rsidRPr="005676B4" w:rsidRDefault="00576C86" w:rsidP="00576C86">
      <w:pPr>
        <w:ind w:left="720" w:hanging="720"/>
        <w:rPr>
          <w:color w:val="222222"/>
          <w:shd w:val="clear" w:color="auto" w:fill="FFFFFF"/>
        </w:rPr>
      </w:pPr>
      <w:r w:rsidRPr="005676B4">
        <w:rPr>
          <w:color w:val="222222"/>
          <w:shd w:val="clear" w:color="auto" w:fill="FFFFFF"/>
        </w:rPr>
        <w:t xml:space="preserve">Hobbs, A. M., </w:t>
      </w:r>
      <w:proofErr w:type="spellStart"/>
      <w:r w:rsidRPr="005676B4">
        <w:rPr>
          <w:color w:val="222222"/>
          <w:shd w:val="clear" w:color="auto" w:fill="FFFFFF"/>
        </w:rPr>
        <w:t>Wulf</w:t>
      </w:r>
      <w:proofErr w:type="spellEnd"/>
      <w:r w:rsidRPr="005676B4">
        <w:rPr>
          <w:color w:val="222222"/>
          <w:shd w:val="clear" w:color="auto" w:fill="FFFFFF"/>
        </w:rPr>
        <w:t xml:space="preserve">-Ludden, T. L., &amp; </w:t>
      </w:r>
      <w:proofErr w:type="spellStart"/>
      <w:r w:rsidRPr="005676B4">
        <w:rPr>
          <w:color w:val="222222"/>
          <w:shd w:val="clear" w:color="auto" w:fill="FFFFFF"/>
        </w:rPr>
        <w:t>Strawhun</w:t>
      </w:r>
      <w:proofErr w:type="spellEnd"/>
      <w:r w:rsidRPr="005676B4">
        <w:rPr>
          <w:color w:val="222222"/>
          <w:shd w:val="clear" w:color="auto" w:fill="FFFFFF"/>
        </w:rPr>
        <w:t>, J. (2013). Assessing youth early in the juvenile justice system. </w:t>
      </w:r>
      <w:r w:rsidRPr="005676B4">
        <w:rPr>
          <w:i/>
          <w:iCs/>
          <w:color w:val="222222"/>
          <w:shd w:val="clear" w:color="auto" w:fill="FFFFFF"/>
        </w:rPr>
        <w:t>Journal of Juvenile Justice</w:t>
      </w:r>
      <w:r w:rsidRPr="005676B4">
        <w:rPr>
          <w:color w:val="222222"/>
          <w:shd w:val="clear" w:color="auto" w:fill="FFFFFF"/>
        </w:rPr>
        <w:t>, </w:t>
      </w:r>
      <w:r w:rsidRPr="005676B4">
        <w:rPr>
          <w:i/>
          <w:iCs/>
          <w:color w:val="222222"/>
          <w:shd w:val="clear" w:color="auto" w:fill="FFFFFF"/>
        </w:rPr>
        <w:t>3</w:t>
      </w:r>
      <w:r w:rsidRPr="005676B4">
        <w:rPr>
          <w:color w:val="222222"/>
          <w:shd w:val="clear" w:color="auto" w:fill="FFFFFF"/>
        </w:rPr>
        <w:t xml:space="preserve">(1), </w:t>
      </w:r>
      <w:r>
        <w:rPr>
          <w:color w:val="222222"/>
          <w:shd w:val="clear" w:color="auto" w:fill="FFFFFF"/>
        </w:rPr>
        <w:t>80.</w:t>
      </w:r>
    </w:p>
    <w:p w:rsidR="00576C86" w:rsidRPr="005676B4" w:rsidRDefault="00576C86" w:rsidP="00576C86">
      <w:pPr>
        <w:ind w:left="720" w:hanging="720"/>
        <w:rPr>
          <w:rFonts w:eastAsia="Times New Roman"/>
        </w:rPr>
      </w:pPr>
      <w:proofErr w:type="spellStart"/>
      <w:r w:rsidRPr="005676B4">
        <w:rPr>
          <w:rFonts w:eastAsia="Times New Roman"/>
        </w:rPr>
        <w:t>Kurlychek</w:t>
      </w:r>
      <w:proofErr w:type="spellEnd"/>
      <w:r w:rsidRPr="005676B4">
        <w:rPr>
          <w:rFonts w:eastAsia="Times New Roman"/>
        </w:rPr>
        <w:t>, M. (2014). Juvenile Court. The Encyclopedia of Criminology and Criminal Justice.</w:t>
      </w:r>
    </w:p>
    <w:p w:rsidR="00576C86" w:rsidRPr="005676B4" w:rsidRDefault="00576C86" w:rsidP="00576C86">
      <w:pPr>
        <w:ind w:left="720" w:hanging="720"/>
        <w:rPr>
          <w:color w:val="222222"/>
          <w:shd w:val="clear" w:color="auto" w:fill="FFFFFF"/>
        </w:rPr>
      </w:pPr>
      <w:proofErr w:type="spellStart"/>
      <w:r w:rsidRPr="005676B4">
        <w:rPr>
          <w:color w:val="222222"/>
          <w:shd w:val="clear" w:color="auto" w:fill="FFFFFF"/>
        </w:rPr>
        <w:t>Kurlychek</w:t>
      </w:r>
      <w:proofErr w:type="spellEnd"/>
      <w:r w:rsidRPr="005676B4">
        <w:rPr>
          <w:color w:val="222222"/>
          <w:shd w:val="clear" w:color="auto" w:fill="FFFFFF"/>
        </w:rPr>
        <w:t>, M. C. (2014). History of Juvenile Courts. In </w:t>
      </w:r>
      <w:r w:rsidRPr="005676B4">
        <w:rPr>
          <w:i/>
          <w:iCs/>
          <w:color w:val="222222"/>
          <w:shd w:val="clear" w:color="auto" w:fill="FFFFFF"/>
        </w:rPr>
        <w:t>Encyclopedia of Criminology and Criminal Justice</w:t>
      </w:r>
      <w:r w:rsidRPr="005676B4">
        <w:rPr>
          <w:color w:val="222222"/>
          <w:shd w:val="clear" w:color="auto" w:fill="FFFFFF"/>
        </w:rPr>
        <w:t> (pp. 2181-2191). Springer New York.</w:t>
      </w:r>
    </w:p>
    <w:p w:rsidR="00576C86" w:rsidRPr="005676B4" w:rsidRDefault="00576C86" w:rsidP="00576C86">
      <w:pPr>
        <w:ind w:left="720" w:hanging="720"/>
        <w:rPr>
          <w:rFonts w:eastAsia="Times New Roman"/>
          <w:color w:val="222222"/>
        </w:rPr>
      </w:pPr>
      <w:proofErr w:type="spellStart"/>
      <w:r w:rsidRPr="005676B4">
        <w:rPr>
          <w:rFonts w:eastAsia="Times New Roman"/>
          <w:color w:val="222222"/>
        </w:rPr>
        <w:t>Paoline</w:t>
      </w:r>
      <w:proofErr w:type="spellEnd"/>
      <w:r w:rsidRPr="005676B4">
        <w:rPr>
          <w:rFonts w:eastAsia="Times New Roman"/>
          <w:color w:val="222222"/>
        </w:rPr>
        <w:t xml:space="preserve"> III, E. A. (2014). Police culture. In </w:t>
      </w:r>
      <w:r w:rsidRPr="005676B4">
        <w:rPr>
          <w:rFonts w:eastAsia="Times New Roman"/>
          <w:i/>
          <w:iCs/>
          <w:color w:val="222222"/>
        </w:rPr>
        <w:t>Encyclopedia of Criminology and Criminal Justice</w:t>
      </w:r>
      <w:r w:rsidRPr="005676B4">
        <w:rPr>
          <w:rFonts w:eastAsia="Times New Roman"/>
          <w:color w:val="222222"/>
        </w:rPr>
        <w:t> (pp. 3577-3586). Springer New York.</w:t>
      </w:r>
    </w:p>
    <w:p w:rsidR="006A5157" w:rsidRPr="005676B4" w:rsidRDefault="00E97AFD" w:rsidP="005676B4">
      <w:pPr>
        <w:rPr>
          <w:rFonts w:eastAsia="Times New Roman"/>
        </w:rPr>
      </w:pPr>
      <w:r w:rsidRPr="005676B4">
        <w:rPr>
          <w:rFonts w:eastAsia="Times New Roman"/>
        </w:rPr>
        <w:tab/>
      </w:r>
    </w:p>
    <w:sectPr w:rsidR="006A5157" w:rsidRPr="005676B4" w:rsidSect="00CF31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FD9" w:rsidRDefault="00121FD9" w:rsidP="00CF319E">
      <w:pPr>
        <w:spacing w:line="240" w:lineRule="auto"/>
      </w:pPr>
      <w:r>
        <w:separator/>
      </w:r>
    </w:p>
  </w:endnote>
  <w:endnote w:type="continuationSeparator" w:id="0">
    <w:p w:rsidR="00121FD9" w:rsidRDefault="00121FD9" w:rsidP="00CF31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FD9" w:rsidRDefault="00121FD9" w:rsidP="00CF319E">
      <w:pPr>
        <w:spacing w:line="240" w:lineRule="auto"/>
      </w:pPr>
      <w:r>
        <w:separator/>
      </w:r>
    </w:p>
  </w:footnote>
  <w:footnote w:type="continuationSeparator" w:id="0">
    <w:p w:rsidR="00121FD9" w:rsidRDefault="00121FD9" w:rsidP="00CF319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D2F" w:rsidRDefault="005A0D2F">
    <w:pPr>
      <w:pStyle w:val="Header"/>
      <w:jc w:val="right"/>
    </w:pPr>
    <w:r>
      <w:t xml:space="preserve">JUVENILE JUSTICE                                                                                                             </w:t>
    </w:r>
    <w:sdt>
      <w:sdtPr>
        <w:id w:val="1017884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6B14">
          <w:rPr>
            <w:noProof/>
          </w:rPr>
          <w:t>7</w:t>
        </w:r>
        <w:r>
          <w:rPr>
            <w:noProof/>
          </w:rPr>
          <w:fldChar w:fldCharType="end"/>
        </w:r>
      </w:sdtContent>
    </w:sdt>
  </w:p>
  <w:p w:rsidR="00E97AFD" w:rsidRDefault="00E9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AFD" w:rsidRPr="005A0D2F" w:rsidRDefault="005A0D2F" w:rsidP="00CF319E">
    <w:pPr>
      <w:spacing w:line="240" w:lineRule="auto"/>
      <w:rPr>
        <w:rFonts w:eastAsia="Times New Roman"/>
      </w:rPr>
    </w:pPr>
    <w:r>
      <w:t xml:space="preserve">        Running h</w:t>
    </w:r>
    <w:r w:rsidR="00E97AFD" w:rsidRPr="005A0D2F">
      <w:t xml:space="preserve">ead: </w:t>
    </w:r>
    <w:r w:rsidR="00E97AFD" w:rsidRPr="005A0D2F">
      <w:rPr>
        <w:rFonts w:eastAsia="Times New Roman"/>
      </w:rPr>
      <w:t xml:space="preserve">JUVENILE JUSTICE </w:t>
    </w:r>
    <w:r w:rsidRPr="005A0D2F">
      <w:rPr>
        <w:rFonts w:eastAsia="Times New Roman"/>
      </w:rPr>
      <w:tab/>
    </w:r>
    <w:r>
      <w:rPr>
        <w:rFonts w:eastAsia="Times New Roman"/>
      </w:rPr>
      <w:t xml:space="preserve">                           </w:t>
    </w:r>
    <w:r w:rsidR="00E97AFD" w:rsidRPr="005A0D2F">
      <w:rPr>
        <w:rFonts w:eastAsia="Times New Roman"/>
      </w:rPr>
      <w:tab/>
    </w:r>
    <w:r w:rsidR="00E97AFD" w:rsidRPr="005A0D2F">
      <w:rPr>
        <w:rFonts w:eastAsia="Times New Roman"/>
      </w:rPr>
      <w:tab/>
    </w:r>
    <w:r w:rsidR="00E97AFD" w:rsidRPr="005A0D2F">
      <w:rPr>
        <w:rFonts w:eastAsia="Times New Roman"/>
      </w:rPr>
      <w:tab/>
    </w:r>
    <w:r w:rsidR="00E97AFD" w:rsidRPr="005A0D2F">
      <w:rPr>
        <w:rFonts w:eastAsia="Times New Roman"/>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1728D"/>
    <w:multiLevelType w:val="hybridMultilevel"/>
    <w:tmpl w:val="CE8206D4"/>
    <w:lvl w:ilvl="0" w:tplc="425AD9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92E39A1"/>
    <w:multiLevelType w:val="hybridMultilevel"/>
    <w:tmpl w:val="9D426B30"/>
    <w:lvl w:ilvl="0" w:tplc="AB8472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771"/>
    <w:rsid w:val="000523AF"/>
    <w:rsid w:val="000D0CEC"/>
    <w:rsid w:val="000D7A3A"/>
    <w:rsid w:val="000F3C0C"/>
    <w:rsid w:val="00121FD9"/>
    <w:rsid w:val="0016732A"/>
    <w:rsid w:val="0018240D"/>
    <w:rsid w:val="002E2723"/>
    <w:rsid w:val="00405CF7"/>
    <w:rsid w:val="00434AA9"/>
    <w:rsid w:val="004371AF"/>
    <w:rsid w:val="0045502B"/>
    <w:rsid w:val="004F5A58"/>
    <w:rsid w:val="005676B4"/>
    <w:rsid w:val="00576C86"/>
    <w:rsid w:val="005A0D2F"/>
    <w:rsid w:val="005B2A56"/>
    <w:rsid w:val="00613E65"/>
    <w:rsid w:val="006159C6"/>
    <w:rsid w:val="00646629"/>
    <w:rsid w:val="006775DE"/>
    <w:rsid w:val="006A5157"/>
    <w:rsid w:val="006B2F59"/>
    <w:rsid w:val="007151A4"/>
    <w:rsid w:val="008B0803"/>
    <w:rsid w:val="009E51E8"/>
    <w:rsid w:val="00A07E8F"/>
    <w:rsid w:val="00AC1CF9"/>
    <w:rsid w:val="00B2276F"/>
    <w:rsid w:val="00BB64FE"/>
    <w:rsid w:val="00CF319E"/>
    <w:rsid w:val="00D46B14"/>
    <w:rsid w:val="00D67CEB"/>
    <w:rsid w:val="00DF3771"/>
    <w:rsid w:val="00E0475C"/>
    <w:rsid w:val="00E150F8"/>
    <w:rsid w:val="00E95499"/>
    <w:rsid w:val="00E97AFD"/>
    <w:rsid w:val="00EA5338"/>
    <w:rsid w:val="00EC4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771"/>
    <w:pPr>
      <w:ind w:left="720"/>
      <w:contextualSpacing/>
    </w:pPr>
  </w:style>
  <w:style w:type="paragraph" w:styleId="Header">
    <w:name w:val="header"/>
    <w:basedOn w:val="Normal"/>
    <w:link w:val="HeaderChar"/>
    <w:uiPriority w:val="99"/>
    <w:unhideWhenUsed/>
    <w:rsid w:val="00CF319E"/>
    <w:pPr>
      <w:tabs>
        <w:tab w:val="center" w:pos="4680"/>
        <w:tab w:val="right" w:pos="9360"/>
      </w:tabs>
      <w:spacing w:line="240" w:lineRule="auto"/>
    </w:pPr>
  </w:style>
  <w:style w:type="character" w:customStyle="1" w:styleId="HeaderChar">
    <w:name w:val="Header Char"/>
    <w:basedOn w:val="DefaultParagraphFont"/>
    <w:link w:val="Header"/>
    <w:uiPriority w:val="99"/>
    <w:rsid w:val="00CF319E"/>
  </w:style>
  <w:style w:type="paragraph" w:styleId="Footer">
    <w:name w:val="footer"/>
    <w:basedOn w:val="Normal"/>
    <w:link w:val="FooterChar"/>
    <w:uiPriority w:val="99"/>
    <w:unhideWhenUsed/>
    <w:rsid w:val="00CF319E"/>
    <w:pPr>
      <w:tabs>
        <w:tab w:val="center" w:pos="4680"/>
        <w:tab w:val="right" w:pos="9360"/>
      </w:tabs>
      <w:spacing w:line="240" w:lineRule="auto"/>
    </w:pPr>
  </w:style>
  <w:style w:type="character" w:customStyle="1" w:styleId="FooterChar">
    <w:name w:val="Footer Char"/>
    <w:basedOn w:val="DefaultParagraphFont"/>
    <w:link w:val="Footer"/>
    <w:uiPriority w:val="99"/>
    <w:rsid w:val="00CF3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771"/>
    <w:pPr>
      <w:ind w:left="720"/>
      <w:contextualSpacing/>
    </w:pPr>
  </w:style>
  <w:style w:type="paragraph" w:styleId="Header">
    <w:name w:val="header"/>
    <w:basedOn w:val="Normal"/>
    <w:link w:val="HeaderChar"/>
    <w:uiPriority w:val="99"/>
    <w:unhideWhenUsed/>
    <w:rsid w:val="00CF319E"/>
    <w:pPr>
      <w:tabs>
        <w:tab w:val="center" w:pos="4680"/>
        <w:tab w:val="right" w:pos="9360"/>
      </w:tabs>
      <w:spacing w:line="240" w:lineRule="auto"/>
    </w:pPr>
  </w:style>
  <w:style w:type="character" w:customStyle="1" w:styleId="HeaderChar">
    <w:name w:val="Header Char"/>
    <w:basedOn w:val="DefaultParagraphFont"/>
    <w:link w:val="Header"/>
    <w:uiPriority w:val="99"/>
    <w:rsid w:val="00CF319E"/>
  </w:style>
  <w:style w:type="paragraph" w:styleId="Footer">
    <w:name w:val="footer"/>
    <w:basedOn w:val="Normal"/>
    <w:link w:val="FooterChar"/>
    <w:uiPriority w:val="99"/>
    <w:unhideWhenUsed/>
    <w:rsid w:val="00CF319E"/>
    <w:pPr>
      <w:tabs>
        <w:tab w:val="center" w:pos="4680"/>
        <w:tab w:val="right" w:pos="9360"/>
      </w:tabs>
      <w:spacing w:line="240" w:lineRule="auto"/>
    </w:pPr>
  </w:style>
  <w:style w:type="character" w:customStyle="1" w:styleId="FooterChar">
    <w:name w:val="Footer Char"/>
    <w:basedOn w:val="DefaultParagraphFont"/>
    <w:link w:val="Footer"/>
    <w:uiPriority w:val="99"/>
    <w:rsid w:val="00CF3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70798">
      <w:bodyDiv w:val="1"/>
      <w:marLeft w:val="0"/>
      <w:marRight w:val="0"/>
      <w:marTop w:val="0"/>
      <w:marBottom w:val="0"/>
      <w:divBdr>
        <w:top w:val="none" w:sz="0" w:space="0" w:color="auto"/>
        <w:left w:val="none" w:sz="0" w:space="0" w:color="auto"/>
        <w:bottom w:val="none" w:sz="0" w:space="0" w:color="auto"/>
        <w:right w:val="none" w:sz="0" w:space="0" w:color="auto"/>
      </w:divBdr>
      <w:divsChild>
        <w:div w:id="1726219066">
          <w:marLeft w:val="0"/>
          <w:marRight w:val="0"/>
          <w:marTop w:val="0"/>
          <w:marBottom w:val="0"/>
          <w:divBdr>
            <w:top w:val="none" w:sz="0" w:space="0" w:color="auto"/>
            <w:left w:val="none" w:sz="0" w:space="0" w:color="auto"/>
            <w:bottom w:val="none" w:sz="0" w:space="0" w:color="auto"/>
            <w:right w:val="none" w:sz="0" w:space="0" w:color="auto"/>
          </w:divBdr>
        </w:div>
      </w:divsChild>
    </w:div>
    <w:div w:id="616448671">
      <w:bodyDiv w:val="1"/>
      <w:marLeft w:val="0"/>
      <w:marRight w:val="0"/>
      <w:marTop w:val="0"/>
      <w:marBottom w:val="0"/>
      <w:divBdr>
        <w:top w:val="none" w:sz="0" w:space="0" w:color="auto"/>
        <w:left w:val="none" w:sz="0" w:space="0" w:color="auto"/>
        <w:bottom w:val="none" w:sz="0" w:space="0" w:color="auto"/>
        <w:right w:val="none" w:sz="0" w:space="0" w:color="auto"/>
      </w:divBdr>
      <w:divsChild>
        <w:div w:id="556939070">
          <w:marLeft w:val="0"/>
          <w:marRight w:val="0"/>
          <w:marTop w:val="0"/>
          <w:marBottom w:val="0"/>
          <w:divBdr>
            <w:top w:val="none" w:sz="0" w:space="0" w:color="auto"/>
            <w:left w:val="none" w:sz="0" w:space="0" w:color="auto"/>
            <w:bottom w:val="none" w:sz="0" w:space="0" w:color="auto"/>
            <w:right w:val="none" w:sz="0" w:space="0" w:color="auto"/>
          </w:divBdr>
        </w:div>
      </w:divsChild>
    </w:div>
    <w:div w:id="1174035987">
      <w:bodyDiv w:val="1"/>
      <w:marLeft w:val="0"/>
      <w:marRight w:val="0"/>
      <w:marTop w:val="0"/>
      <w:marBottom w:val="0"/>
      <w:divBdr>
        <w:top w:val="none" w:sz="0" w:space="0" w:color="auto"/>
        <w:left w:val="none" w:sz="0" w:space="0" w:color="auto"/>
        <w:bottom w:val="none" w:sz="0" w:space="0" w:color="auto"/>
        <w:right w:val="none" w:sz="0" w:space="0" w:color="auto"/>
      </w:divBdr>
      <w:divsChild>
        <w:div w:id="1989701606">
          <w:marLeft w:val="0"/>
          <w:marRight w:val="0"/>
          <w:marTop w:val="0"/>
          <w:marBottom w:val="0"/>
          <w:divBdr>
            <w:top w:val="none" w:sz="0" w:space="0" w:color="auto"/>
            <w:left w:val="none" w:sz="0" w:space="0" w:color="auto"/>
            <w:bottom w:val="none" w:sz="0" w:space="0" w:color="auto"/>
            <w:right w:val="none" w:sz="0" w:space="0" w:color="auto"/>
          </w:divBdr>
        </w:div>
      </w:divsChild>
    </w:div>
    <w:div w:id="1880579925">
      <w:bodyDiv w:val="1"/>
      <w:marLeft w:val="0"/>
      <w:marRight w:val="0"/>
      <w:marTop w:val="0"/>
      <w:marBottom w:val="0"/>
      <w:divBdr>
        <w:top w:val="none" w:sz="0" w:space="0" w:color="auto"/>
        <w:left w:val="none" w:sz="0" w:space="0" w:color="auto"/>
        <w:bottom w:val="none" w:sz="0" w:space="0" w:color="auto"/>
        <w:right w:val="none" w:sz="0" w:space="0" w:color="auto"/>
      </w:divBdr>
    </w:div>
    <w:div w:id="2125345647">
      <w:bodyDiv w:val="1"/>
      <w:marLeft w:val="0"/>
      <w:marRight w:val="0"/>
      <w:marTop w:val="0"/>
      <w:marBottom w:val="0"/>
      <w:divBdr>
        <w:top w:val="none" w:sz="0" w:space="0" w:color="auto"/>
        <w:left w:val="none" w:sz="0" w:space="0" w:color="auto"/>
        <w:bottom w:val="none" w:sz="0" w:space="0" w:color="auto"/>
        <w:right w:val="none" w:sz="0" w:space="0" w:color="auto"/>
      </w:divBdr>
      <w:divsChild>
        <w:div w:id="1158813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Tiffin University</Company>
  <LinksUpToDate>false</LinksUpToDate>
  <CharactersWithSpaces>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Jerew</dc:creator>
  <cp:lastModifiedBy>Nderi</cp:lastModifiedBy>
  <cp:revision>2</cp:revision>
  <dcterms:created xsi:type="dcterms:W3CDTF">2017-10-31T15:04:00Z</dcterms:created>
  <dcterms:modified xsi:type="dcterms:W3CDTF">2017-10-31T15:04:00Z</dcterms:modified>
</cp:coreProperties>
</file>